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42026_100841.xml.htm"/>
      <w:bookmarkStart w:id="1" w:name="ksform408242026_1008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Grimaud Brett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THERAVANCE BIOPHARMA US,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Theravance Biopharma, Inc.</w:t>
              </w:r>
            </w:hyperlink>
            <w:r>
              <w:rPr/>
              <w:t xml:space="preserve"> [ </w:t>
            </w:r>
            <w:r>
              <w:rPr>
                <w:rFonts w:ascii="Times;serif" w:hAnsi="Times;serif"/>
                <w:color w:val="0000FF"/>
                <w:sz w:val="24"/>
                <w:shd w:fill="FFFFFF" w:val="clear"/>
              </w:rPr>
              <w:t>TBPH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 COUNSEL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891"/>
        <w:gridCol w:w="457"/>
        <w:gridCol w:w="756"/>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7,952</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16.95</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355,168</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to satisfy tax obligations arising out of the vesting of previously granted restricted stock units. The share withholding transaction was with the issuer and did not involve an open market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A Grimaud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6698" TargetMode="External"/><Relationship Id="rId5" Type="http://schemas.openxmlformats.org/officeDocument/2006/relationships/hyperlink" Target="http://www.sec.gov/cgi-bin/browse-edgar?action=getcompany&amp;CIK=0001583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3292</Characters>
  <CharactersWithSpaces>3829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