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THERAVANCE BIOPHARMA,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001-36033</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98-1226628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2960" w:space="720"/>
            <w:col w:w="2920"/>
          </w:cols>
          <w:pgMar w:left="320" w:top="727"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 Theravance Biopharma US, LLC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901 Gateway Boulevard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808-6000</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3"/>
            <w:vMerge w:val="restart"/>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234"/>
        </w:trPr>
        <w:tc>
          <w:tcPr>
            <w:tcW w:w="4700" w:type="dxa"/>
            <w:vAlign w:val="bottom"/>
            <w:gridSpan w:val="3"/>
            <w:vMerge w:val="continue"/>
          </w:tcPr>
          <w:p>
            <w:pPr>
              <w:spacing w:after="0"/>
              <w:rPr>
                <w:sz w:val="20"/>
                <w:szCs w:val="20"/>
                <w:color w:val="auto"/>
              </w:rPr>
            </w:pP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 $0.00001 Par Value</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TBPH</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00"/>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2026 Annual General Meeting of Shareholders (the “Annual Meeting”) of Theravance Biopharma, Inc. (the “Company”) was held on June 12, 2026. Shareholders holding 47,059,878 ordinary shares, representing 91.4% of the total number of shares outstanding and entitled to vote at the Annual Meeting, were present in person or by proxy at the Annual Meeting, which constituted a quorum to conduct business.</w:t>
      </w:r>
    </w:p>
    <w:p>
      <w:pPr>
        <w:spacing w:after="0" w:line="176"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matters voted on at the Annual Meeting are summarized below, and the votes cast with respect to each such matter are set forth below. These matters are described in more detail in the Company’s Definitive Proxy Statement filed with the Securities and Exchange Commission on April 28,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One </w:t>
      </w:r>
      <w:r>
        <w:rPr>
          <w:rFonts w:ascii="Times New Roman" w:cs="Times New Roman" w:eastAsia="Times New Roman" w:hAnsi="Times New Roman"/>
          <w:sz w:val="18"/>
          <w:szCs w:val="18"/>
          <w:color w:val="auto"/>
        </w:rPr>
        <w:t>– Based on the following results of voting, the nominees listed below were elected directors to serve as members of the Board until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Annual General Meeting held in 2027 and until their successors are duly elected and qualified: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23"/>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Laurie Smaldone Alsup</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42,725,649</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124,187</w:t>
            </w:r>
          </w:p>
        </w:tc>
        <w:tc>
          <w:tcPr>
            <w:tcW w:w="2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53,867</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4,156,175</w:t>
            </w: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Susannah Gray</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42,231,530</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618,306</w:t>
            </w: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53,867</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4,156,175</w:t>
            </w: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J. Mitchell</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42,557,257</w:t>
            </w:r>
          </w:p>
        </w:tc>
        <w:tc>
          <w:tcPr>
            <w:tcW w:w="2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297,316</w:t>
            </w:r>
          </w:p>
        </w:tc>
        <w:tc>
          <w:tcPr>
            <w:tcW w:w="2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49,130</w:t>
            </w:r>
          </w:p>
        </w:tc>
        <w:tc>
          <w:tcPr>
            <w:tcW w:w="2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4,156,175</w:t>
            </w: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Donal O’Connor</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42,535,463</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319,110</w:t>
            </w: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49,130</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4,156,175</w:t>
            </w: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Deepika R. Pakianathan</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41,936,019</w:t>
            </w:r>
          </w:p>
        </w:tc>
        <w:tc>
          <w:tcPr>
            <w:tcW w:w="2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918,543</w:t>
            </w:r>
          </w:p>
        </w:tc>
        <w:tc>
          <w:tcPr>
            <w:tcW w:w="2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49,141</w:t>
            </w:r>
          </w:p>
        </w:tc>
        <w:tc>
          <w:tcPr>
            <w:tcW w:w="2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4,156,175</w:t>
            </w: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E Winningham</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42,474,538</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377,274</w:t>
            </w:r>
          </w:p>
        </w:tc>
        <w:tc>
          <w:tcPr>
            <w:tcW w:w="240" w:type="dxa"/>
            <w:vAlign w:val="bottom"/>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51,891</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4,156,175</w:t>
            </w:r>
          </w:p>
        </w:tc>
      </w:tr>
    </w:tbl>
    <w:p>
      <w:pPr>
        <w:spacing w:after="0" w:line="19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Two </w:t>
      </w:r>
      <w:r>
        <w:rPr>
          <w:rFonts w:ascii="Times New Roman" w:cs="Times New Roman" w:eastAsia="Times New Roman" w:hAnsi="Times New Roman"/>
          <w:sz w:val="18"/>
          <w:szCs w:val="18"/>
          <w:color w:val="auto"/>
        </w:rPr>
        <w:t>– Based on the following results of voting, the appointment of Ernst &amp; Young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 was ratified: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5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46,471,340</w:t>
            </w:r>
          </w:p>
        </w:tc>
        <w:tc>
          <w:tcPr>
            <w:tcW w:w="24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572,896</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15,642</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Three </w:t>
      </w:r>
      <w:r>
        <w:rPr>
          <w:rFonts w:ascii="Times New Roman" w:cs="Times New Roman" w:eastAsia="Times New Roman" w:hAnsi="Times New Roman"/>
          <w:sz w:val="18"/>
          <w:szCs w:val="18"/>
          <w:color w:val="auto"/>
        </w:rPr>
        <w:t>– Based on the following results of voting, a non-binding advisory resolution regarding the compensation of the Company’s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was approved: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42,631,324</w:t>
            </w:r>
          </w:p>
        </w:tc>
        <w:tc>
          <w:tcPr>
            <w:tcW w:w="24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221,196</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51,183</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4,156,175</w:t>
            </w:r>
          </w:p>
        </w:tc>
      </w:tr>
      <w:tr>
        <w:trPr>
          <w:trHeight w:val="668"/>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THERAVANCE BIOPHARMA, INC.</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Brett Grimaud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Brett Grimaud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2026-06-12T16:20:33Z</dcterms:created>
  <dcterms:modified xsi:type="dcterms:W3CDTF">2026-06-12T16:20:33Z</dcterms:modified>
</cp:coreProperties>
</file>