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THERAVANCE BIOPHARMA,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0"/>
              </w:rPr>
              <w:t>Cayman Islands</w:t>
            </w:r>
          </w:p>
        </w:tc>
        <w:tc>
          <w:tcPr>
            <w:tcW w:w="366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001-36033</w:t>
            </w:r>
          </w:p>
        </w:tc>
        <w:tc>
          <w:tcPr>
            <w:tcW w:w="302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98-1226628</w:t>
            </w:r>
          </w:p>
        </w:tc>
      </w:tr>
      <w:tr>
        <w:trPr>
          <w:trHeight w:val="216"/>
        </w:trPr>
        <w:tc>
          <w:tcPr>
            <w:tcW w:w="3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w:t>
            </w: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40" w:type="dxa"/>
            <w:vAlign w:val="bottom"/>
          </w:tcPr>
          <w:p>
            <w:pPr>
              <w:jc w:val="center"/>
              <w:ind w:right="790"/>
              <w:spacing w:after="0"/>
              <w:rPr>
                <w:sz w:val="20"/>
                <w:szCs w:val="20"/>
                <w:color w:val="auto"/>
              </w:rPr>
            </w:pPr>
            <w:r>
              <w:rPr>
                <w:rFonts w:ascii="Arial" w:cs="Arial" w:eastAsia="Arial" w:hAnsi="Arial"/>
                <w:sz w:val="18"/>
                <w:szCs w:val="18"/>
                <w:color w:val="auto"/>
                <w:w w:val="93"/>
              </w:rPr>
              <w:t>Incorporation)</w:t>
            </w:r>
          </w:p>
        </w:tc>
        <w:tc>
          <w:tcPr>
            <w:tcW w:w="3660" w:type="dxa"/>
            <w:vAlign w:val="bottom"/>
          </w:tcPr>
          <w:p>
            <w:pPr>
              <w:spacing w:after="0"/>
              <w:rPr>
                <w:sz w:val="20"/>
                <w:szCs w:val="20"/>
                <w:color w:val="auto"/>
              </w:rPr>
            </w:pPr>
          </w:p>
        </w:tc>
        <w:tc>
          <w:tcPr>
            <w:tcW w:w="3020" w:type="dxa"/>
            <w:vAlign w:val="bottom"/>
          </w:tcPr>
          <w:p>
            <w:pPr>
              <w:jc w:val="center"/>
              <w:ind w:left="690"/>
              <w:spacing w:after="0"/>
              <w:rPr>
                <w:sz w:val="20"/>
                <w:szCs w:val="20"/>
                <w:color w:val="auto"/>
              </w:rPr>
            </w:pPr>
            <w:r>
              <w:rPr>
                <w:rFonts w:ascii="Arial" w:cs="Arial" w:eastAsia="Arial" w:hAnsi="Arial"/>
                <w:sz w:val="18"/>
                <w:szCs w:val="18"/>
                <w:color w:val="auto"/>
                <w:w w:val="91"/>
              </w:rPr>
              <w:t>Number)</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309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Ugland House, South Church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George Town, Grand Cayman, Cayman Islands KY1-1104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808-6000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w:t>
            </w:r>
          </w:p>
        </w:tc>
        <w:tc>
          <w:tcPr>
            <w:tcW w:w="4260" w:type="dxa"/>
            <w:vAlign w:val="bottom"/>
          </w:tcPr>
          <w:p>
            <w:pPr>
              <w:jc w:val="center"/>
              <w:spacing w:after="0"/>
              <w:rPr>
                <w:sz w:val="20"/>
                <w:szCs w:val="20"/>
                <w:color w:val="auto"/>
              </w:rPr>
            </w:pPr>
            <w:r>
              <w:rPr>
                <w:rFonts w:ascii="Arial" w:cs="Arial" w:eastAsia="Arial" w:hAnsi="Arial"/>
                <w:sz w:val="18"/>
                <w:szCs w:val="18"/>
                <w:color w:val="auto"/>
                <w:w w:val="88"/>
              </w:rPr>
              <w:t>Name of each exchange</w:t>
            </w:r>
          </w:p>
        </w:tc>
        <w:tc>
          <w:tcPr>
            <w:tcW w:w="0" w:type="dxa"/>
            <w:vAlign w:val="bottom"/>
          </w:tcPr>
          <w:p>
            <w:pPr>
              <w:spacing w:after="0"/>
              <w:rPr>
                <w:sz w:val="1"/>
                <w:szCs w:val="1"/>
                <w:color w:val="auto"/>
              </w:rPr>
            </w:pPr>
          </w:p>
        </w:tc>
      </w:tr>
      <w:tr>
        <w:trPr>
          <w:trHeight w:val="230"/>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on which registered</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 $0.00001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TBPH</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894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February 2018, Theravance Biopharma Ireland Limited, an affiliate of Theravance Biopharma, Inc. (together with Theravance Biopharma Ireland Limited, the “Company”), entered into a License and Collaboration Agreement with Janssen Biotech, Inc. (“Janssen”) for izencitinib and related back-up compounds for inflammatory intestinal diseases, including ulcerative colitis and Crohn’s disease (the “Janssen Agreement”).</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August 2021, the Company completed a Phase 2b/3 induction and maintenance study of izencitinib in ulcerative colitis and announced that the study did not meet its primary endpoint. In November 2021, the Company announced that it voluntarily discontinued its Phase 2 study of izencitinib in Crohn’s disease. On December 17, 2021, the Company received notice from Janssen terminating the Janssen Agreement, effective as of January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THERAVANCE BIOPHARMA, INC.</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Date: December 22, 2021</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Brett Grimaud</w:t>
            </w:r>
          </w:p>
        </w:tc>
      </w:tr>
      <w:tr>
        <w:trPr>
          <w:trHeight w:val="195"/>
        </w:trPr>
        <w:tc>
          <w:tcPr>
            <w:tcW w:w="586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Brett Grimaud</w:t>
            </w:r>
          </w:p>
        </w:tc>
      </w:tr>
      <w:tr>
        <w:trPr>
          <w:trHeight w:val="230"/>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r>
        <w:trPr>
          <w:trHeight w:val="675"/>
        </w:trPr>
        <w:tc>
          <w:tcPr>
            <w:tcW w:w="58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2021-12-22T15:59:47Z</dcterms:created>
  <dcterms:modified xsi:type="dcterms:W3CDTF">2021-12-22T15:59:47Z</dcterms:modified>
</cp:coreProperties>
</file>