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Farnum Rhonda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420"/>
        <w:spacing w:after="0" w:line="365" w:lineRule="auto"/>
        <w:rPr>
          <w:sz w:val="20"/>
          <w:szCs w:val="20"/>
          <w:color w:val="auto"/>
        </w:rPr>
      </w:pPr>
      <w:r>
        <w:rPr>
          <w:rFonts w:ascii="Times New Roman" w:cs="Times New Roman" w:eastAsia="Times New Roman" w:hAnsi="Times New Roman"/>
          <w:sz w:val="17"/>
          <w:szCs w:val="17"/>
          <w:color w:val="0000FF"/>
        </w:rPr>
        <w:t>C/O THERAVANCE BIOPHARMA US, LLC 901 GATEWAY BLVD</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SOUTH SAN</w:t>
            </w:r>
          </w:p>
        </w:tc>
        <w:tc>
          <w:tcPr>
            <w:tcW w:w="9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94080</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1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94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Theravance Biopharma,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TBPH</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30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300" w:type="dxa"/>
            <w:vAlign w:val="bottom"/>
            <w:tcBorders>
              <w:bottom w:val="single" w:sz="8" w:color="0000EE"/>
            </w:tcBorders>
          </w:tcPr>
          <w:p>
            <w:pPr>
              <w:spacing w:after="0"/>
              <w:rPr>
                <w:sz w:val="3"/>
                <w:szCs w:val="3"/>
                <w:color w:val="auto"/>
              </w:rPr>
            </w:pPr>
          </w:p>
        </w:tc>
        <w:tc>
          <w:tcPr>
            <w:tcW w:w="132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60" w:type="dxa"/>
            <w:vAlign w:val="bottom"/>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6"/>
        </w:trPr>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300" w:type="dxa"/>
            <w:vAlign w:val="bottom"/>
            <w:tcBorders>
              <w:bottom w:val="single" w:sz="8" w:color="2C2C2C"/>
            </w:tcBorders>
          </w:tcPr>
          <w:p>
            <w:pPr>
              <w:spacing w:after="0"/>
              <w:rPr>
                <w:sz w:val="7"/>
                <w:szCs w:val="7"/>
                <w:color w:val="auto"/>
              </w:rPr>
            </w:pPr>
          </w:p>
        </w:tc>
        <w:tc>
          <w:tcPr>
            <w:tcW w:w="1320" w:type="dxa"/>
            <w:vAlign w:val="bottom"/>
            <w:tcBorders>
              <w:bottom w:val="single" w:sz="8" w:color="2C2C2C"/>
            </w:tcBorders>
          </w:tcPr>
          <w:p>
            <w:pPr>
              <w:spacing w:after="0"/>
              <w:rPr>
                <w:sz w:val="7"/>
                <w:szCs w:val="7"/>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69"/>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60" w:type="dxa"/>
            <w:vAlign w:val="bottom"/>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7"/>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33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7"/>
                <w:szCs w:val="17"/>
                <w:color w:val="0000FF"/>
              </w:rPr>
              <w:t>SVP, COMM &amp; MEDICAL AFFAIRS</w:t>
            </w:r>
          </w:p>
        </w:tc>
        <w:tc>
          <w:tcPr>
            <w:tcW w:w="0" w:type="dxa"/>
            <w:vAlign w:val="bottom"/>
          </w:tcPr>
          <w:p>
            <w:pPr>
              <w:spacing w:after="0"/>
              <w:rPr>
                <w:sz w:val="1"/>
                <w:szCs w:val="1"/>
                <w:color w:val="auto"/>
              </w:rPr>
            </w:pPr>
          </w:p>
        </w:tc>
      </w:tr>
      <w:tr>
        <w:trPr>
          <w:trHeight w:val="133"/>
        </w:trPr>
        <w:tc>
          <w:tcPr>
            <w:tcW w:w="250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05/20/2026</w:t>
            </w:r>
          </w:p>
        </w:tc>
        <w:tc>
          <w:tcPr>
            <w:tcW w:w="1320" w:type="dxa"/>
            <w:vAlign w:val="bottom"/>
          </w:tcPr>
          <w:p>
            <w:pPr>
              <w:spacing w:after="0"/>
              <w:rPr>
                <w:sz w:val="11"/>
                <w:szCs w:val="11"/>
                <w:color w:val="auto"/>
              </w:rPr>
            </w:pPr>
          </w:p>
        </w:tc>
        <w:tc>
          <w:tcPr>
            <w:tcW w:w="33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3"/>
        </w:trPr>
        <w:tc>
          <w:tcPr>
            <w:tcW w:w="2500" w:type="dxa"/>
            <w:vAlign w:val="bottom"/>
            <w:gridSpan w:val="3"/>
            <w:vMerge w:val="continue"/>
          </w:tcPr>
          <w:p>
            <w:pPr>
              <w:spacing w:after="0"/>
              <w:rPr>
                <w:sz w:val="8"/>
                <w:szCs w:val="8"/>
                <w:color w:val="auto"/>
              </w:rPr>
            </w:pPr>
          </w:p>
        </w:tc>
        <w:tc>
          <w:tcPr>
            <w:tcW w:w="13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81"/>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30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16"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2"/>
                <w:szCs w:val="12"/>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05/20/2026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5,678</w:t>
            </w:r>
            <w:r>
              <w:rPr>
                <w:rFonts w:ascii="Times New Roman" w:cs="Times New Roman" w:eastAsia="Times New Roman" w:hAnsi="Times New Roman"/>
                <w:sz w:val="22"/>
                <w:szCs w:val="22"/>
                <w:color w:val="008000"/>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16.55</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245,771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80" w:firstLine="7"/>
        <w:spacing w:after="0" w:line="256"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withheld to satisfy tax obligations arising out of the vesting of previously granted restricted stock units. The share withholding transaction was with the issuer and did not involve an open market transaction.</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Brett A Grimaud, Attorney- </w:t>
      </w:r>
      <w:r>
        <w:rPr>
          <w:rFonts w:ascii="Times New Roman" w:cs="Times New Roman" w:eastAsia="Times New Roman" w:hAnsi="Times New Roman"/>
          <w:sz w:val="33"/>
          <w:szCs w:val="33"/>
          <w:color w:val="0000FF"/>
          <w:vertAlign w:val="subscript"/>
        </w:rPr>
        <w:t>05/22/2026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595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953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98490" TargetMode="External"/><Relationship Id="rId14" Type="http://schemas.openxmlformats.org/officeDocument/2006/relationships/hyperlink" Target="http://www.sec.gov/cgi-bin/browse-edgar?action=getcompany&amp;CIK=00015831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2026-05-22T17:19:11Z</dcterms:created>
  <dcterms:modified xsi:type="dcterms:W3CDTF">2026-05-22T17:19:11Z</dcterms:modified>
</cp:coreProperties>
</file>