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42026_100836.xml.htm"/>
      <w:bookmarkStart w:id="1" w:name="ksform408242026_10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Aine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THERAVANCE BIOPHARMA US,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Theravance Biopharma, Inc.</w:t>
              </w:r>
            </w:hyperlink>
            <w:r>
              <w:rPr/>
              <w:t xml:space="preserve"> [ </w:t>
            </w:r>
            <w:r>
              <w:rPr>
                <w:rFonts w:ascii="Times;serif" w:hAnsi="Times;serif"/>
                <w:color w:val="0000FF"/>
                <w:sz w:val="24"/>
                <w:shd w:fill="FFFFFF" w:val="clear"/>
              </w:rPr>
              <w:t>TBPH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DEV &amp; HEAD OF IRE OFFICE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91"/>
        <w:gridCol w:w="457"/>
        <w:gridCol w:w="756"/>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6,258</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16.95</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189,826</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tax obligations arising out of the vesting of previously granted restricted stock units. The share withholding transaction was with the issuer and did not involve an open market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A Grimaud,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524" TargetMode="External"/><Relationship Id="rId5" Type="http://schemas.openxmlformats.org/officeDocument/2006/relationships/hyperlink" Target="http://www.sec.gov/cgi-bin/browse-edgar?action=getcompany&amp;CIK=0001583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3302</Characters>
  <CharactersWithSpaces>3841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